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transmission du jugement au client (droit belge) · Diligence · https://www.diligence.website/modeles/transmission-jugement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jugement du [date du jugement]</w:t>
      </w:r>
      <w:r>
        <w:br/>
        <w:t xml:space="preserve">Juridiction : 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jugement prononcé le [date du jugement] par [juridiction] dans le dossier repris sous rubrique.</w:t>
      </w:r>
    </w:p>
    <w:p>
      <w:pPr>
        <w:spacing w:after="200"/>
        <w:jc w:val="both"/>
      </w:pPr>
      <w:r>
        <w:t xml:space="preserve">1. Ce que décide le jugement</w:t>
      </w:r>
      <w:r>
        <w:br/>
        <w:t xml:space="preserve">[Résumé du dispositif : demandes accueillies ou rejetées, montants alloués, intérêts, indemnité de procédure, dépens, exécution provisoire.]</w:t>
      </w:r>
    </w:p>
    <w:p>
      <w:pPr>
        <w:spacing w:after="200"/>
        <w:jc w:val="both"/>
      </w:pPr>
      <w:r>
        <w:t xml:space="preserve">2. Mon analyse</w:t>
      </w:r>
      <w:r>
        <w:br/>
        <w:t xml:space="preserve">[Appréciation du jugement et des chances de succès d'un recours.]</w:t>
      </w:r>
    </w:p>
    <w:p>
      <w:pPr>
        <w:spacing w:after="200"/>
        <w:jc w:val="both"/>
      </w:pPr>
      <w:r>
        <w:t xml:space="preserve">3. Voies de recours et délais</w:t>
      </w:r>
      <w:r>
        <w:br/>
        <w:t xml:space="preserve">Le jugement [m'a été communiqué par le greffe / a été signifié le [date] par exploit d'huissier / a été notifié par pli judiciaire le [date]]. Sauf exceptions prévues par la loi, les délais sont les suivants :</w:t>
      </w:r>
      <w:r>
        <w:br/>
        <w:t xml:space="preserve">- [jugement rendu par défaut] opposition : un mois à partir de la signification ou de la notification du jugement (art. 1048 C. jud.) ;</w:t>
      </w:r>
      <w:r>
        <w:br/>
        <w:t xml:space="preserve">- appel : un mois à partir de la signification du jugement ou de sa notification faite conformément à l'article 792, alinéas 2 et 3 (art. 1051 C. jud.) ;</w:t>
      </w:r>
      <w:r>
        <w:br/>
        <w:t xml:space="preserve">- [décision rendue en dernier ressort] pourvoi en cassation : trois mois à partir de la signification ou de la notification (art. 1073 C. jud.).</w:t>
      </w:r>
    </w:p>
    <w:p>
      <w:pPr>
        <w:spacing w:after="200"/>
        <w:jc w:val="both"/>
      </w:pPr>
      <w:r>
        <w:t xml:space="preserve">Une simple communication du jugement par le greffe ou par courrier ne fait en principe pas courir ces délais ; une signification ou une notification les fait courir. [Ces délais peuvent être prorogés pendant les vacances judiciaires (art. 50, al. 2, C. jud.) ou augmentés pour une partie sans domicile en Belgique (art. 55 C. jud.).]</w:t>
      </w:r>
      <w:r>
        <w:br/>
        <w:t xml:space="preserve">[Le délai expire, à mon estime, le [date d'expiration]. Je vous remercie de me faire connaître votre décision pour le [date] au plus tard.]</w:t>
      </w:r>
    </w:p>
    <w:p>
      <w:pPr>
        <w:spacing w:after="200"/>
        <w:jc w:val="both"/>
      </w:pPr>
      <w:r>
        <w:t xml:space="preserve">4. Exécution</w:t>
      </w:r>
      <w:r>
        <w:br/>
        <w:t xml:space="preserve">[Le jugement est exécutoire par provision / n'est pas exécutoire par provision.] [Je vais demander à la partie adverse de s'exécuter volontairement / faire signifier le jugement par huissier de justice.]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du jugement au client</dc:title>
  <dc:creator>Diligence</dc:creator>
  <dc:description>Transmettre le jugement au client avec son analyse, les voies de recours ouvertes et leurs délais.</dc:description>
  <cp:lastModifiedBy>Un-named</cp:lastModifiedBy>
  <cp:revision>1</cp:revision>
  <dcterms:created xsi:type="dcterms:W3CDTF">2026-11-07T08:56:42.423Z</dcterms:created>
  <dcterms:modified xsi:type="dcterms:W3CDTF">2026-11-07T08:56:42.423Z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